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A9F00" w14:textId="77777777" w:rsidR="00A70220" w:rsidRDefault="009733A2" w:rsidP="00C15B10">
      <w:pPr>
        <w:jc w:val="center"/>
        <w:rPr>
          <w:b/>
          <w:bCs/>
          <w:color w:val="000000" w:themeColor="text1"/>
        </w:rPr>
      </w:pPr>
      <w:r w:rsidRPr="00B16139">
        <w:rPr>
          <w:b/>
          <w:bCs/>
          <w:color w:val="000000" w:themeColor="text1"/>
        </w:rPr>
        <w:t>Предварительное информирование граждан о</w:t>
      </w:r>
      <w:r>
        <w:rPr>
          <w:b/>
          <w:bCs/>
          <w:color w:val="000000" w:themeColor="text1"/>
        </w:rPr>
        <w:t xml:space="preserve"> </w:t>
      </w:r>
      <w:r w:rsidRPr="00B16139">
        <w:rPr>
          <w:b/>
          <w:bCs/>
          <w:color w:val="000000" w:themeColor="text1"/>
        </w:rPr>
        <w:t>проведении общественных обсуждени</w:t>
      </w:r>
      <w:r w:rsidR="009E31C9">
        <w:rPr>
          <w:b/>
          <w:bCs/>
          <w:color w:val="000000" w:themeColor="text1"/>
        </w:rPr>
        <w:t>й</w:t>
      </w:r>
      <w:r w:rsidRPr="00B16139">
        <w:rPr>
          <w:b/>
          <w:bCs/>
          <w:color w:val="000000" w:themeColor="text1"/>
        </w:rPr>
        <w:t xml:space="preserve"> </w:t>
      </w:r>
    </w:p>
    <w:p w14:paraId="2B20F558" w14:textId="55F6CE5D" w:rsidR="00C15B10" w:rsidRPr="00B93B17" w:rsidRDefault="009733A2" w:rsidP="00C15B10">
      <w:pPr>
        <w:jc w:val="center"/>
        <w:rPr>
          <w:b/>
          <w:bCs/>
        </w:rPr>
      </w:pPr>
      <w:r w:rsidRPr="00B16139">
        <w:rPr>
          <w:b/>
          <w:bCs/>
          <w:color w:val="000000" w:themeColor="text1"/>
        </w:rPr>
        <w:t>отчета об</w:t>
      </w:r>
      <w:r>
        <w:rPr>
          <w:b/>
          <w:bCs/>
          <w:color w:val="000000" w:themeColor="text1"/>
        </w:rPr>
        <w:t xml:space="preserve"> </w:t>
      </w:r>
      <w:r w:rsidRPr="00B16139">
        <w:rPr>
          <w:b/>
          <w:bCs/>
          <w:color w:val="000000" w:themeColor="text1"/>
        </w:rPr>
        <w:t>оценке воздействия на</w:t>
      </w:r>
      <w:r>
        <w:rPr>
          <w:b/>
          <w:bCs/>
          <w:color w:val="000000" w:themeColor="text1"/>
        </w:rPr>
        <w:t xml:space="preserve"> </w:t>
      </w:r>
      <w:r w:rsidRPr="00B16139">
        <w:rPr>
          <w:b/>
          <w:bCs/>
          <w:color w:val="000000" w:themeColor="text1"/>
        </w:rPr>
        <w:t>окружающую среду (ОВОС) по</w:t>
      </w:r>
      <w:r>
        <w:rPr>
          <w:b/>
          <w:bCs/>
          <w:color w:val="000000" w:themeColor="text1"/>
        </w:rPr>
        <w:t xml:space="preserve"> </w:t>
      </w:r>
      <w:r w:rsidRPr="00B93B17">
        <w:rPr>
          <w:b/>
          <w:bCs/>
        </w:rPr>
        <w:t>объекту:</w:t>
      </w:r>
    </w:p>
    <w:p w14:paraId="5F218546" w14:textId="1E7C44B3" w:rsidR="00A70220" w:rsidRDefault="00DC2716" w:rsidP="00EE41F3">
      <w:pPr>
        <w:jc w:val="center"/>
        <w:rPr>
          <w:b/>
          <w:bCs/>
          <w:spacing w:val="4"/>
          <w:u w:val="single"/>
        </w:rPr>
      </w:pPr>
      <w:r w:rsidRPr="00B93B17">
        <w:rPr>
          <w:b/>
          <w:bCs/>
          <w:spacing w:val="4"/>
          <w:u w:val="single"/>
        </w:rPr>
        <w:t>«</w:t>
      </w:r>
      <w:r w:rsidR="00A15964">
        <w:rPr>
          <w:b/>
          <w:bCs/>
          <w:spacing w:val="4"/>
          <w:u w:val="single"/>
        </w:rPr>
        <w:t xml:space="preserve">Реконструкция линейной части газопровода-перемычки Минск-Гомель-ГРС-2А в части устройства камер запуска и приёма </w:t>
      </w:r>
      <w:r w:rsidR="00C60A6A">
        <w:rPr>
          <w:b/>
          <w:bCs/>
          <w:spacing w:val="4"/>
          <w:u w:val="single"/>
        </w:rPr>
        <w:t>очистных устройств</w:t>
      </w:r>
      <w:r w:rsidRPr="00B93B17">
        <w:rPr>
          <w:b/>
          <w:bCs/>
          <w:spacing w:val="4"/>
          <w:u w:val="single"/>
        </w:rPr>
        <w:t>»</w:t>
      </w:r>
    </w:p>
    <w:p w14:paraId="7FD383C8" w14:textId="77777777" w:rsidR="001F0F92" w:rsidRPr="00B93B17" w:rsidRDefault="001F0F92" w:rsidP="00EE41F3">
      <w:pPr>
        <w:jc w:val="center"/>
        <w:rPr>
          <w:b/>
          <w:sz w:val="10"/>
          <w:szCs w:val="10"/>
        </w:rPr>
      </w:pPr>
    </w:p>
    <w:p w14:paraId="00CD5B6A" w14:textId="28C9C1EE" w:rsidR="009733A2" w:rsidRPr="00B93B17" w:rsidRDefault="009B3FCF" w:rsidP="00460FDB">
      <w:pPr>
        <w:spacing w:after="80"/>
        <w:ind w:firstLine="709"/>
        <w:jc w:val="center"/>
        <w:rPr>
          <w:b/>
        </w:rPr>
      </w:pPr>
      <w:r w:rsidRPr="00B93B17">
        <w:rPr>
          <w:b/>
        </w:rPr>
        <w:t>Г</w:t>
      </w:r>
      <w:r w:rsidR="009733A2" w:rsidRPr="00B93B17">
        <w:rPr>
          <w:b/>
        </w:rPr>
        <w:t>рафик работ по проведению ОВОС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4"/>
        <w:gridCol w:w="3882"/>
      </w:tblGrid>
      <w:tr w:rsidR="00B93B17" w:rsidRPr="00B93B17" w14:paraId="384956DA" w14:textId="77777777" w:rsidTr="006F56AB">
        <w:trPr>
          <w:cantSplit/>
          <w:trHeight w:val="396"/>
        </w:trPr>
        <w:tc>
          <w:tcPr>
            <w:tcW w:w="3124" w:type="pct"/>
            <w:vAlign w:val="center"/>
          </w:tcPr>
          <w:p w14:paraId="454951C5" w14:textId="77777777" w:rsidR="00177298" w:rsidRPr="00B93B17" w:rsidRDefault="00177298" w:rsidP="00853FA6">
            <w:pPr>
              <w:jc w:val="center"/>
              <w:rPr>
                <w:bCs/>
                <w:sz w:val="22"/>
              </w:rPr>
            </w:pPr>
            <w:r w:rsidRPr="00B93B17">
              <w:rPr>
                <w:bCs/>
                <w:sz w:val="22"/>
              </w:rPr>
              <w:t xml:space="preserve">Наименование работ </w:t>
            </w:r>
          </w:p>
        </w:tc>
        <w:tc>
          <w:tcPr>
            <w:tcW w:w="1876" w:type="pct"/>
            <w:vAlign w:val="center"/>
          </w:tcPr>
          <w:p w14:paraId="28D2C12B" w14:textId="77777777" w:rsidR="00177298" w:rsidRPr="00B93B17" w:rsidRDefault="00177298" w:rsidP="00853FA6">
            <w:pPr>
              <w:jc w:val="center"/>
              <w:rPr>
                <w:bCs/>
                <w:sz w:val="22"/>
              </w:rPr>
            </w:pPr>
            <w:r w:rsidRPr="00B93B17">
              <w:rPr>
                <w:bCs/>
                <w:sz w:val="22"/>
              </w:rPr>
              <w:t>Сроки выполнения</w:t>
            </w:r>
          </w:p>
        </w:tc>
      </w:tr>
      <w:tr w:rsidR="00B93B17" w:rsidRPr="00B93B17" w14:paraId="6FE95CC8" w14:textId="77777777" w:rsidTr="006F56AB">
        <w:trPr>
          <w:cantSplit/>
          <w:trHeight w:val="418"/>
        </w:trPr>
        <w:tc>
          <w:tcPr>
            <w:tcW w:w="3124" w:type="pct"/>
          </w:tcPr>
          <w:p w14:paraId="2C565011" w14:textId="77777777" w:rsidR="00DC2716" w:rsidRPr="00B93B17" w:rsidRDefault="00DC2716" w:rsidP="00DC2716">
            <w:pPr>
              <w:pStyle w:val="1"/>
              <w:jc w:val="both"/>
              <w:rPr>
                <w:szCs w:val="24"/>
              </w:rPr>
            </w:pPr>
            <w:r w:rsidRPr="00B93B17">
              <w:rPr>
                <w:szCs w:val="24"/>
              </w:rPr>
              <w:t>Подготовка программы проведения ОВОС</w:t>
            </w:r>
          </w:p>
        </w:tc>
        <w:tc>
          <w:tcPr>
            <w:tcW w:w="1876" w:type="pct"/>
          </w:tcPr>
          <w:p w14:paraId="064A6AA1" w14:textId="41302541" w:rsidR="00DC2716" w:rsidRPr="00B93B17" w:rsidRDefault="00784D51" w:rsidP="00EB4C23">
            <w:pPr>
              <w:jc w:val="center"/>
            </w:pPr>
            <w:r>
              <w:t>с 10.11</w:t>
            </w:r>
            <w:r w:rsidR="00DC2716" w:rsidRPr="00B93B17">
              <w:t xml:space="preserve">.2023 по </w:t>
            </w:r>
            <w:r>
              <w:t>20.11</w:t>
            </w:r>
            <w:r w:rsidR="00DC2716" w:rsidRPr="00B93B17">
              <w:t>.2023 г.</w:t>
            </w:r>
          </w:p>
        </w:tc>
      </w:tr>
      <w:tr w:rsidR="00B93B17" w:rsidRPr="00B93B17" w14:paraId="0B3CD6D3" w14:textId="77777777" w:rsidTr="006F56AB">
        <w:trPr>
          <w:cantSplit/>
          <w:trHeight w:val="990"/>
        </w:trPr>
        <w:tc>
          <w:tcPr>
            <w:tcW w:w="3124" w:type="pct"/>
          </w:tcPr>
          <w:p w14:paraId="66994AA2" w14:textId="77777777" w:rsidR="00DC2716" w:rsidRPr="00B93B17" w:rsidRDefault="00DC2716" w:rsidP="00DC2716">
            <w:pPr>
              <w:pStyle w:val="1"/>
              <w:jc w:val="both"/>
              <w:rPr>
                <w:szCs w:val="24"/>
              </w:rPr>
            </w:pPr>
            <w:r w:rsidRPr="00B93B17">
              <w:rPr>
                <w:szCs w:val="24"/>
              </w:rPr>
              <w:t>Проведение предварительного информирования граждан и юридических лиц о планируемой хозяйственной и иной деятельности</w:t>
            </w:r>
          </w:p>
        </w:tc>
        <w:tc>
          <w:tcPr>
            <w:tcW w:w="1876" w:type="pct"/>
            <w:vAlign w:val="center"/>
          </w:tcPr>
          <w:p w14:paraId="6B9D43BF" w14:textId="4D56B77A" w:rsidR="00DC2716" w:rsidRPr="00B93B17" w:rsidRDefault="00AD273F" w:rsidP="00C85B71">
            <w:pPr>
              <w:jc w:val="center"/>
            </w:pPr>
            <w:r w:rsidRPr="005E345F">
              <w:t xml:space="preserve">с </w:t>
            </w:r>
            <w:r w:rsidR="00784D51">
              <w:t>20.12</w:t>
            </w:r>
            <w:r w:rsidRPr="005E345F">
              <w:t xml:space="preserve">.2023 </w:t>
            </w:r>
            <w:bookmarkStart w:id="0" w:name="_GoBack"/>
            <w:bookmarkEnd w:id="0"/>
            <w:r w:rsidRPr="005E345F">
              <w:rPr>
                <w:vertAlign w:val="superscript"/>
              </w:rPr>
              <w:t>*1</w:t>
            </w:r>
          </w:p>
        </w:tc>
      </w:tr>
      <w:tr w:rsidR="00B93B17" w:rsidRPr="00B93B17" w14:paraId="795A9877" w14:textId="77777777" w:rsidTr="006F56AB">
        <w:trPr>
          <w:cantSplit/>
          <w:trHeight w:val="679"/>
        </w:trPr>
        <w:tc>
          <w:tcPr>
            <w:tcW w:w="3124" w:type="pct"/>
          </w:tcPr>
          <w:p w14:paraId="380A0770" w14:textId="77777777" w:rsidR="00DC2716" w:rsidRPr="00B93B17" w:rsidRDefault="00DC2716" w:rsidP="00DC2716">
            <w:pPr>
              <w:pStyle w:val="1"/>
              <w:jc w:val="both"/>
              <w:rPr>
                <w:szCs w:val="24"/>
              </w:rPr>
            </w:pPr>
            <w:r w:rsidRPr="00B93B17">
              <w:rPr>
                <w:szCs w:val="24"/>
              </w:rPr>
              <w:t>Подготовка уведомления о планируемой хозяйственной и иной деятельности</w:t>
            </w:r>
          </w:p>
        </w:tc>
        <w:tc>
          <w:tcPr>
            <w:tcW w:w="1876" w:type="pct"/>
            <w:vAlign w:val="center"/>
          </w:tcPr>
          <w:p w14:paraId="73CC22A9" w14:textId="2A6A2740" w:rsidR="00DC2716" w:rsidRPr="00B93B17" w:rsidRDefault="00DC2716" w:rsidP="00DC2716">
            <w:pPr>
              <w:jc w:val="center"/>
            </w:pPr>
            <w:r w:rsidRPr="00B93B17">
              <w:t xml:space="preserve">не требуется </w:t>
            </w:r>
            <w:r w:rsidRPr="00B93B17">
              <w:rPr>
                <w:vertAlign w:val="superscript"/>
              </w:rPr>
              <w:t>*2</w:t>
            </w:r>
          </w:p>
        </w:tc>
      </w:tr>
      <w:tr w:rsidR="00B93B17" w:rsidRPr="00B93B17" w14:paraId="19E6182C" w14:textId="77777777" w:rsidTr="006F56AB">
        <w:trPr>
          <w:cantSplit/>
          <w:trHeight w:val="986"/>
        </w:trPr>
        <w:tc>
          <w:tcPr>
            <w:tcW w:w="3124" w:type="pct"/>
          </w:tcPr>
          <w:p w14:paraId="2397FCCD" w14:textId="77777777" w:rsidR="00DC2716" w:rsidRPr="00B93B17" w:rsidRDefault="00DC2716" w:rsidP="00DC2716">
            <w:pPr>
              <w:pStyle w:val="1"/>
              <w:jc w:val="both"/>
              <w:rPr>
                <w:szCs w:val="24"/>
              </w:rPr>
            </w:pPr>
            <w:r w:rsidRPr="00B93B17">
              <w:rPr>
                <w:szCs w:val="24"/>
              </w:rPr>
              <w:t>Направление уведомления о планируемой хозяйственной и иной деятельности и программы проведения ОВОС затрагиваемым сторонам</w:t>
            </w:r>
          </w:p>
        </w:tc>
        <w:tc>
          <w:tcPr>
            <w:tcW w:w="1876" w:type="pct"/>
            <w:vAlign w:val="center"/>
          </w:tcPr>
          <w:p w14:paraId="18CA09C9" w14:textId="0C15708C" w:rsidR="00DC2716" w:rsidRPr="00B93B17" w:rsidRDefault="00DC2716" w:rsidP="00DC2716">
            <w:pPr>
              <w:jc w:val="center"/>
            </w:pPr>
            <w:r w:rsidRPr="00B93B17">
              <w:t xml:space="preserve">не требуется </w:t>
            </w:r>
            <w:r w:rsidRPr="00B93B17">
              <w:rPr>
                <w:vertAlign w:val="superscript"/>
              </w:rPr>
              <w:t>*2</w:t>
            </w:r>
          </w:p>
        </w:tc>
      </w:tr>
      <w:tr w:rsidR="00B93B17" w:rsidRPr="00B93B17" w14:paraId="0962BAE9" w14:textId="77777777" w:rsidTr="006F56AB">
        <w:trPr>
          <w:cantSplit/>
          <w:trHeight w:val="396"/>
        </w:trPr>
        <w:tc>
          <w:tcPr>
            <w:tcW w:w="3124" w:type="pct"/>
          </w:tcPr>
          <w:p w14:paraId="2B3A13A5" w14:textId="77777777" w:rsidR="00DC2716" w:rsidRPr="00B93B17" w:rsidRDefault="00DC2716" w:rsidP="00DC2716">
            <w:pPr>
              <w:pStyle w:val="1"/>
              <w:jc w:val="both"/>
              <w:rPr>
                <w:szCs w:val="24"/>
              </w:rPr>
            </w:pPr>
            <w:r w:rsidRPr="00B93B17">
              <w:rPr>
                <w:szCs w:val="24"/>
              </w:rPr>
              <w:t>Подготовка отчета об ОВОС</w:t>
            </w:r>
          </w:p>
        </w:tc>
        <w:tc>
          <w:tcPr>
            <w:tcW w:w="1876" w:type="pct"/>
          </w:tcPr>
          <w:p w14:paraId="6E107B9A" w14:textId="0438F7EA" w:rsidR="00DC2716" w:rsidRPr="00B93B17" w:rsidRDefault="00DC2716" w:rsidP="00DC2716">
            <w:pPr>
              <w:jc w:val="center"/>
            </w:pPr>
            <w:r w:rsidRPr="00B93B17">
              <w:t xml:space="preserve">с </w:t>
            </w:r>
            <w:r w:rsidR="00784D51">
              <w:t>10.11.2023 по 27.12</w:t>
            </w:r>
            <w:r w:rsidRPr="00B93B17">
              <w:t>.2023 г.</w:t>
            </w:r>
            <w:r w:rsidR="004E613B" w:rsidRPr="00B93B17">
              <w:rPr>
                <w:vertAlign w:val="superscript"/>
              </w:rPr>
              <w:t>*1</w:t>
            </w:r>
          </w:p>
        </w:tc>
      </w:tr>
      <w:tr w:rsidR="00B93B17" w:rsidRPr="00B93B17" w14:paraId="515EAEEE" w14:textId="77777777" w:rsidTr="006F56AB">
        <w:trPr>
          <w:cantSplit/>
          <w:trHeight w:val="396"/>
        </w:trPr>
        <w:tc>
          <w:tcPr>
            <w:tcW w:w="3124" w:type="pct"/>
          </w:tcPr>
          <w:p w14:paraId="2BA928C7" w14:textId="77777777" w:rsidR="00DC2716" w:rsidRPr="00B93B17" w:rsidRDefault="00DC2716" w:rsidP="00DC2716">
            <w:pPr>
              <w:pStyle w:val="1"/>
              <w:jc w:val="both"/>
              <w:rPr>
                <w:szCs w:val="24"/>
              </w:rPr>
            </w:pPr>
            <w:r w:rsidRPr="00B93B17">
              <w:rPr>
                <w:szCs w:val="24"/>
              </w:rPr>
              <w:t>Направление отчета об ОВОС затрагиваемым сторонам</w:t>
            </w:r>
          </w:p>
        </w:tc>
        <w:tc>
          <w:tcPr>
            <w:tcW w:w="1876" w:type="pct"/>
          </w:tcPr>
          <w:p w14:paraId="138E339C" w14:textId="26464EAC" w:rsidR="00DC2716" w:rsidRPr="00B93B17" w:rsidRDefault="00DC2716" w:rsidP="00DC2716">
            <w:pPr>
              <w:jc w:val="center"/>
            </w:pPr>
            <w:r w:rsidRPr="00B93B17">
              <w:t xml:space="preserve">не требуется </w:t>
            </w:r>
            <w:r w:rsidRPr="00B93B17">
              <w:rPr>
                <w:vertAlign w:val="superscript"/>
              </w:rPr>
              <w:t>*2</w:t>
            </w:r>
          </w:p>
        </w:tc>
      </w:tr>
      <w:tr w:rsidR="00B93B17" w:rsidRPr="00B93B17" w14:paraId="49C3B50A" w14:textId="77777777" w:rsidTr="006F56AB">
        <w:trPr>
          <w:cantSplit/>
          <w:trHeight w:val="872"/>
        </w:trPr>
        <w:tc>
          <w:tcPr>
            <w:tcW w:w="3124" w:type="pct"/>
            <w:shd w:val="clear" w:color="auto" w:fill="auto"/>
          </w:tcPr>
          <w:p w14:paraId="3869B056" w14:textId="77777777" w:rsidR="00DC2716" w:rsidRPr="00B93B17" w:rsidRDefault="00DC2716" w:rsidP="00DC2716">
            <w:pPr>
              <w:pStyle w:val="1"/>
              <w:jc w:val="both"/>
              <w:rPr>
                <w:szCs w:val="24"/>
              </w:rPr>
            </w:pPr>
            <w:r w:rsidRPr="00B93B17">
              <w:rPr>
                <w:szCs w:val="24"/>
              </w:rPr>
              <w:t>Проведение общественных обсуждений на территории:</w:t>
            </w:r>
          </w:p>
          <w:p w14:paraId="499E9ED8" w14:textId="77777777" w:rsidR="00DC2716" w:rsidRPr="00B93B17" w:rsidRDefault="00DC2716" w:rsidP="00DC2716">
            <w:pPr>
              <w:pStyle w:val="1"/>
              <w:jc w:val="both"/>
              <w:rPr>
                <w:szCs w:val="24"/>
              </w:rPr>
            </w:pPr>
            <w:r w:rsidRPr="00B93B17">
              <w:rPr>
                <w:szCs w:val="24"/>
              </w:rPr>
              <w:t>– Республики Беларусь;</w:t>
            </w:r>
          </w:p>
          <w:p w14:paraId="6540A8DF" w14:textId="77777777" w:rsidR="00DC2716" w:rsidRPr="00B93B17" w:rsidRDefault="00DC2716" w:rsidP="00DC2716">
            <w:pPr>
              <w:pStyle w:val="1"/>
              <w:jc w:val="both"/>
              <w:rPr>
                <w:szCs w:val="24"/>
              </w:rPr>
            </w:pPr>
            <w:r w:rsidRPr="00B93B17">
              <w:rPr>
                <w:szCs w:val="24"/>
              </w:rPr>
              <w:t>– затрагиваемых сторон</w:t>
            </w:r>
          </w:p>
        </w:tc>
        <w:tc>
          <w:tcPr>
            <w:tcW w:w="1876" w:type="pct"/>
            <w:shd w:val="clear" w:color="auto" w:fill="auto"/>
          </w:tcPr>
          <w:p w14:paraId="5A996099" w14:textId="77777777" w:rsidR="00DC2716" w:rsidRPr="00B93B17" w:rsidRDefault="00DC2716" w:rsidP="00DC2716">
            <w:pPr>
              <w:jc w:val="center"/>
            </w:pPr>
          </w:p>
          <w:p w14:paraId="491BBFB3" w14:textId="204775D1" w:rsidR="00DC2716" w:rsidRPr="00B93B17" w:rsidRDefault="00784D51" w:rsidP="00DC2716">
            <w:pPr>
              <w:ind w:left="-83" w:right="-91"/>
              <w:jc w:val="center"/>
            </w:pPr>
            <w:r>
              <w:t>с декабря 2023</w:t>
            </w:r>
            <w:r w:rsidR="00DC2716" w:rsidRPr="00B93B17">
              <w:t xml:space="preserve"> по </w:t>
            </w:r>
            <w:r>
              <w:t>февраль 2024</w:t>
            </w:r>
            <w:r w:rsidR="00DC2716" w:rsidRPr="00B93B17">
              <w:t xml:space="preserve"> г. </w:t>
            </w:r>
            <w:r w:rsidR="00DC2716" w:rsidRPr="00B93B17">
              <w:rPr>
                <w:vertAlign w:val="superscript"/>
              </w:rPr>
              <w:t>*1</w:t>
            </w:r>
          </w:p>
          <w:p w14:paraId="4C4337E2" w14:textId="48960201" w:rsidR="00DC2716" w:rsidRPr="00B93B17" w:rsidRDefault="00DC2716" w:rsidP="00DC2716">
            <w:pPr>
              <w:jc w:val="center"/>
            </w:pPr>
            <w:r w:rsidRPr="00B93B17">
              <w:t xml:space="preserve">не требуется </w:t>
            </w:r>
            <w:r w:rsidRPr="00B93B17">
              <w:rPr>
                <w:vertAlign w:val="superscript"/>
              </w:rPr>
              <w:t>*2</w:t>
            </w:r>
          </w:p>
        </w:tc>
      </w:tr>
      <w:tr w:rsidR="00B93B17" w:rsidRPr="00B93B17" w14:paraId="4FC7C80F" w14:textId="77777777" w:rsidTr="006F56AB">
        <w:trPr>
          <w:cantSplit/>
          <w:trHeight w:val="713"/>
        </w:trPr>
        <w:tc>
          <w:tcPr>
            <w:tcW w:w="3124" w:type="pct"/>
          </w:tcPr>
          <w:p w14:paraId="74051599" w14:textId="77777777" w:rsidR="00DC2716" w:rsidRPr="00B93B17" w:rsidRDefault="00DC2716" w:rsidP="00DC2716">
            <w:pPr>
              <w:pStyle w:val="caaieiaie7"/>
              <w:keepNext w:val="0"/>
              <w:rPr>
                <w:szCs w:val="24"/>
              </w:rPr>
            </w:pPr>
            <w:r w:rsidRPr="00B93B17">
              <w:rPr>
                <w:szCs w:val="24"/>
              </w:rPr>
              <w:t>Проведение консультации по замечаниям затрагиваемых сторон</w:t>
            </w:r>
          </w:p>
        </w:tc>
        <w:tc>
          <w:tcPr>
            <w:tcW w:w="1876" w:type="pct"/>
          </w:tcPr>
          <w:p w14:paraId="021A8E0A" w14:textId="191D6269" w:rsidR="00DC2716" w:rsidRPr="00B93B17" w:rsidRDefault="00DC2716" w:rsidP="00DC2716">
            <w:pPr>
              <w:jc w:val="center"/>
            </w:pPr>
            <w:r w:rsidRPr="00B93B17">
              <w:t xml:space="preserve">не требуется </w:t>
            </w:r>
            <w:r w:rsidRPr="00B93B17">
              <w:rPr>
                <w:vertAlign w:val="superscript"/>
              </w:rPr>
              <w:t>*2</w:t>
            </w:r>
          </w:p>
        </w:tc>
      </w:tr>
      <w:tr w:rsidR="00B93B17" w:rsidRPr="00B93B17" w14:paraId="618C1E9B" w14:textId="77777777" w:rsidTr="006F56AB">
        <w:trPr>
          <w:cantSplit/>
          <w:trHeight w:val="411"/>
        </w:trPr>
        <w:tc>
          <w:tcPr>
            <w:tcW w:w="3124" w:type="pct"/>
          </w:tcPr>
          <w:p w14:paraId="3E52CAA8" w14:textId="77777777" w:rsidR="00DC2716" w:rsidRPr="00B93B17" w:rsidRDefault="00DC2716" w:rsidP="00DC2716">
            <w:pPr>
              <w:pStyle w:val="caaieiaie7"/>
              <w:keepNext w:val="0"/>
              <w:rPr>
                <w:szCs w:val="24"/>
              </w:rPr>
            </w:pPr>
            <w:r w:rsidRPr="00B93B17">
              <w:rPr>
                <w:szCs w:val="24"/>
              </w:rPr>
              <w:t>Проведение собрания по обсуждению отчета об ОВОС</w:t>
            </w:r>
          </w:p>
        </w:tc>
        <w:tc>
          <w:tcPr>
            <w:tcW w:w="1876" w:type="pct"/>
          </w:tcPr>
          <w:p w14:paraId="33BDF1AD" w14:textId="6B51D3EC" w:rsidR="00DC2716" w:rsidRPr="00B93B17" w:rsidRDefault="00784D51" w:rsidP="00DC2716">
            <w:pPr>
              <w:jc w:val="center"/>
            </w:pPr>
            <w:r>
              <w:t>январь</w:t>
            </w:r>
            <w:r w:rsidR="00DC2716" w:rsidRPr="00B93B17">
              <w:t xml:space="preserve"> – </w:t>
            </w:r>
            <w:r>
              <w:t>февраль 2024</w:t>
            </w:r>
            <w:r w:rsidR="00DC2716" w:rsidRPr="00B93B17">
              <w:t xml:space="preserve"> г.</w:t>
            </w:r>
            <w:r w:rsidR="00DC2716" w:rsidRPr="00B93B17">
              <w:rPr>
                <w:vertAlign w:val="superscript"/>
              </w:rPr>
              <w:t xml:space="preserve"> *3</w:t>
            </w:r>
          </w:p>
          <w:p w14:paraId="09356C65" w14:textId="18ED53D7" w:rsidR="00DC2716" w:rsidRPr="00B93B17" w:rsidRDefault="00DC2716" w:rsidP="00DC2716">
            <w:pPr>
              <w:jc w:val="center"/>
            </w:pPr>
            <w:r w:rsidRPr="00B93B17">
              <w:rPr>
                <w:sz w:val="20"/>
                <w:szCs w:val="20"/>
              </w:rPr>
              <w:t>(собрание может быть назначено не ранее чем через 25 календарных дней с даты начала общественных обсуждений и не позднее дня их завершения)</w:t>
            </w:r>
          </w:p>
        </w:tc>
      </w:tr>
      <w:tr w:rsidR="00B93B17" w:rsidRPr="00B93B17" w14:paraId="4D083019" w14:textId="77777777" w:rsidTr="006F56AB">
        <w:trPr>
          <w:cantSplit/>
          <w:trHeight w:val="417"/>
        </w:trPr>
        <w:tc>
          <w:tcPr>
            <w:tcW w:w="3124" w:type="pct"/>
          </w:tcPr>
          <w:p w14:paraId="577EF7D3" w14:textId="77777777" w:rsidR="00DC2716" w:rsidRPr="00B93B17" w:rsidRDefault="00DC2716" w:rsidP="00DC2716">
            <w:pPr>
              <w:pStyle w:val="caaieiaie7"/>
              <w:keepNext w:val="0"/>
              <w:rPr>
                <w:szCs w:val="24"/>
              </w:rPr>
            </w:pPr>
            <w:r w:rsidRPr="00B93B17">
              <w:rPr>
                <w:szCs w:val="24"/>
              </w:rPr>
              <w:t>Доработка отчета об ОВОС по замечаниям</w:t>
            </w:r>
          </w:p>
        </w:tc>
        <w:tc>
          <w:tcPr>
            <w:tcW w:w="1876" w:type="pct"/>
          </w:tcPr>
          <w:p w14:paraId="3CF6397C" w14:textId="5159B642" w:rsidR="00DC2716" w:rsidRPr="00B93B17" w:rsidRDefault="00784D51" w:rsidP="00DC2716">
            <w:pPr>
              <w:jc w:val="center"/>
            </w:pPr>
            <w:r>
              <w:t>февраль 2024</w:t>
            </w:r>
            <w:r w:rsidR="00DC2716" w:rsidRPr="00B93B17">
              <w:t xml:space="preserve"> г.</w:t>
            </w:r>
            <w:r w:rsidR="00DC2716" w:rsidRPr="00B93B17">
              <w:rPr>
                <w:vertAlign w:val="superscript"/>
              </w:rPr>
              <w:t xml:space="preserve"> *4</w:t>
            </w:r>
          </w:p>
        </w:tc>
      </w:tr>
      <w:tr w:rsidR="00B93B17" w:rsidRPr="00B93B17" w14:paraId="050F5817" w14:textId="77777777" w:rsidTr="006F56AB">
        <w:trPr>
          <w:cantSplit/>
          <w:trHeight w:val="925"/>
        </w:trPr>
        <w:tc>
          <w:tcPr>
            <w:tcW w:w="3124" w:type="pct"/>
          </w:tcPr>
          <w:p w14:paraId="4E2A180E" w14:textId="77777777" w:rsidR="00DC2716" w:rsidRPr="00B93B17" w:rsidRDefault="00DC2716" w:rsidP="00DC2716">
            <w:pPr>
              <w:pStyle w:val="caaieiaie7"/>
              <w:keepNext w:val="0"/>
              <w:rPr>
                <w:szCs w:val="24"/>
              </w:rPr>
            </w:pPr>
            <w:r w:rsidRPr="00B93B17">
              <w:rPr>
                <w:szCs w:val="24"/>
              </w:rPr>
              <w:t>Представление отчета об ОВОС в составе предпроектной (предынвестиционной), проектной документации на государственную экологическую экспертизу</w:t>
            </w:r>
          </w:p>
        </w:tc>
        <w:tc>
          <w:tcPr>
            <w:tcW w:w="1876" w:type="pct"/>
          </w:tcPr>
          <w:p w14:paraId="3FE9BD48" w14:textId="0C04C1EE" w:rsidR="00DC2716" w:rsidRPr="00B93B17" w:rsidRDefault="00784D51" w:rsidP="00784D51">
            <w:pPr>
              <w:jc w:val="center"/>
            </w:pPr>
            <w:r>
              <w:t>с февраля</w:t>
            </w:r>
            <w:r w:rsidR="00DC2716" w:rsidRPr="00B93B17">
              <w:t xml:space="preserve"> по </w:t>
            </w:r>
            <w:r>
              <w:t>март 2024</w:t>
            </w:r>
            <w:r w:rsidR="00DC2716" w:rsidRPr="00B93B17">
              <w:rPr>
                <w:vertAlign w:val="superscript"/>
              </w:rPr>
              <w:t xml:space="preserve"> *1</w:t>
            </w:r>
          </w:p>
        </w:tc>
      </w:tr>
      <w:tr w:rsidR="00B93B17" w:rsidRPr="00B93B17" w14:paraId="35EC5297" w14:textId="77777777" w:rsidTr="006F56AB">
        <w:trPr>
          <w:cantSplit/>
          <w:trHeight w:val="396"/>
        </w:trPr>
        <w:tc>
          <w:tcPr>
            <w:tcW w:w="3124" w:type="pct"/>
          </w:tcPr>
          <w:p w14:paraId="38B3112B" w14:textId="77777777" w:rsidR="00DC2716" w:rsidRPr="00B93B17" w:rsidRDefault="00DC2716" w:rsidP="00DC2716">
            <w:pPr>
              <w:pStyle w:val="caaieiaie7"/>
              <w:keepNext w:val="0"/>
              <w:rPr>
                <w:szCs w:val="24"/>
              </w:rPr>
            </w:pPr>
            <w:r w:rsidRPr="00B93B17">
              <w:rPr>
                <w:szCs w:val="24"/>
              </w:rPr>
              <w:t>Принятие решения в отношении планируемой деятельности</w:t>
            </w:r>
          </w:p>
        </w:tc>
        <w:tc>
          <w:tcPr>
            <w:tcW w:w="1876" w:type="pct"/>
          </w:tcPr>
          <w:p w14:paraId="48A67BE8" w14:textId="7CCCE879" w:rsidR="00DC2716" w:rsidRPr="00B93B17" w:rsidRDefault="00784D51" w:rsidP="00784D51">
            <w:pPr>
              <w:jc w:val="center"/>
            </w:pPr>
            <w:r>
              <w:t>март</w:t>
            </w:r>
            <w:r w:rsidR="00DC2716" w:rsidRPr="00B93B17">
              <w:t xml:space="preserve"> – </w:t>
            </w:r>
            <w:r>
              <w:t>апрель 2024</w:t>
            </w:r>
            <w:r w:rsidR="00DC2716" w:rsidRPr="00B93B17">
              <w:rPr>
                <w:vertAlign w:val="superscript"/>
              </w:rPr>
              <w:t xml:space="preserve"> *1</w:t>
            </w:r>
          </w:p>
        </w:tc>
      </w:tr>
    </w:tbl>
    <w:p w14:paraId="4629467E" w14:textId="77777777" w:rsidR="006F56AB" w:rsidRDefault="006F56AB" w:rsidP="006F56AB">
      <w:pPr>
        <w:jc w:val="both"/>
        <w:rPr>
          <w:sz w:val="8"/>
          <w:szCs w:val="8"/>
        </w:rPr>
      </w:pPr>
    </w:p>
    <w:p w14:paraId="3A2523F8" w14:textId="77777777" w:rsidR="00C9545B" w:rsidRPr="006F56AB" w:rsidRDefault="00C9545B" w:rsidP="00C9545B">
      <w:pPr>
        <w:jc w:val="both"/>
        <w:rPr>
          <w:sz w:val="22"/>
          <w:szCs w:val="22"/>
        </w:rPr>
      </w:pPr>
      <w:bookmarkStart w:id="1" w:name="_Hlk97028286"/>
      <w:r w:rsidRPr="006F56AB">
        <w:rPr>
          <w:sz w:val="22"/>
          <w:szCs w:val="22"/>
        </w:rPr>
        <w:t>*</w:t>
      </w:r>
      <w:r>
        <w:rPr>
          <w:sz w:val="22"/>
          <w:szCs w:val="22"/>
        </w:rPr>
        <w:t>1</w:t>
      </w:r>
      <w:r w:rsidRPr="006F56AB">
        <w:rPr>
          <w:sz w:val="22"/>
          <w:szCs w:val="22"/>
        </w:rPr>
        <w:t xml:space="preserve"> – срок выполнения работ может быть изменен;</w:t>
      </w:r>
    </w:p>
    <w:p w14:paraId="3DE1AF9E" w14:textId="77777777" w:rsidR="00C9545B" w:rsidRPr="006F56AB" w:rsidRDefault="00C9545B" w:rsidP="00C9545B">
      <w:pPr>
        <w:jc w:val="both"/>
        <w:rPr>
          <w:sz w:val="22"/>
          <w:szCs w:val="22"/>
        </w:rPr>
      </w:pPr>
      <w:r w:rsidRPr="006F56AB">
        <w:rPr>
          <w:sz w:val="22"/>
          <w:szCs w:val="22"/>
        </w:rPr>
        <w:t>*</w:t>
      </w:r>
      <w:r>
        <w:rPr>
          <w:sz w:val="22"/>
          <w:szCs w:val="22"/>
        </w:rPr>
        <w:t>2</w:t>
      </w:r>
      <w:r w:rsidRPr="006F56AB">
        <w:rPr>
          <w:sz w:val="22"/>
          <w:szCs w:val="22"/>
        </w:rPr>
        <w:t xml:space="preserve"> – заполняется в случае, если планируемая хозяйственная и иная деятельность может оказывать трансграничное воздействие;</w:t>
      </w:r>
    </w:p>
    <w:p w14:paraId="161B2807" w14:textId="77777777" w:rsidR="00C9545B" w:rsidRPr="006F56AB" w:rsidRDefault="00C9545B" w:rsidP="00C9545B">
      <w:pPr>
        <w:jc w:val="both"/>
        <w:rPr>
          <w:sz w:val="22"/>
          <w:szCs w:val="22"/>
        </w:rPr>
      </w:pPr>
      <w:r w:rsidRPr="006F56AB">
        <w:rPr>
          <w:sz w:val="22"/>
          <w:szCs w:val="22"/>
        </w:rPr>
        <w:t>*3 – будет осуществлено в случае обращения общественности о необходимости проведения собрания</w:t>
      </w:r>
      <w:r>
        <w:rPr>
          <w:sz w:val="22"/>
          <w:szCs w:val="22"/>
        </w:rPr>
        <w:t xml:space="preserve">, </w:t>
      </w:r>
      <w:r w:rsidRPr="006F56AB">
        <w:rPr>
          <w:sz w:val="22"/>
          <w:szCs w:val="22"/>
        </w:rPr>
        <w:t>срок выполнения работ может быть изменен;</w:t>
      </w:r>
    </w:p>
    <w:p w14:paraId="40FD32E0" w14:textId="2ADB500A" w:rsidR="006F56AB" w:rsidRDefault="00C9545B" w:rsidP="00C9545B">
      <w:pPr>
        <w:jc w:val="both"/>
        <w:rPr>
          <w:sz w:val="22"/>
          <w:szCs w:val="22"/>
        </w:rPr>
      </w:pPr>
      <w:r w:rsidRPr="006F56AB">
        <w:rPr>
          <w:sz w:val="22"/>
          <w:szCs w:val="22"/>
        </w:rPr>
        <w:t xml:space="preserve">*4 </w:t>
      </w:r>
      <w:r w:rsidRPr="006F56AB">
        <w:rPr>
          <w:sz w:val="22"/>
          <w:szCs w:val="22"/>
        </w:rPr>
        <w:noBreakHyphen/>
        <w:t xml:space="preserve"> будет осуществлена в случае необходимости</w:t>
      </w:r>
      <w:bookmarkEnd w:id="1"/>
      <w:r>
        <w:rPr>
          <w:sz w:val="22"/>
          <w:szCs w:val="22"/>
        </w:rPr>
        <w:t xml:space="preserve">, </w:t>
      </w:r>
      <w:r w:rsidRPr="006F56AB">
        <w:rPr>
          <w:sz w:val="22"/>
          <w:szCs w:val="22"/>
        </w:rPr>
        <w:t>срок выполнения работ может быть изменен.</w:t>
      </w:r>
    </w:p>
    <w:p w14:paraId="696D624F" w14:textId="77777777" w:rsidR="003C06D7" w:rsidRPr="00F83648" w:rsidRDefault="003C06D7" w:rsidP="003C06D7">
      <w:pPr>
        <w:pStyle w:val="10"/>
        <w:spacing w:after="0" w:line="240" w:lineRule="auto"/>
        <w:ind w:left="0"/>
        <w:jc w:val="center"/>
        <w:rPr>
          <w:rFonts w:ascii="Times New Roman" w:hAnsi="Times New Roman"/>
          <w:b/>
          <w:sz w:val="24"/>
          <w:szCs w:val="24"/>
        </w:rPr>
      </w:pPr>
      <w:r w:rsidRPr="00F83648">
        <w:rPr>
          <w:rFonts w:ascii="Times New Roman" w:hAnsi="Times New Roman"/>
          <w:b/>
          <w:sz w:val="24"/>
          <w:szCs w:val="24"/>
        </w:rPr>
        <w:t xml:space="preserve">Сведения о </w:t>
      </w:r>
      <w:r>
        <w:rPr>
          <w:rFonts w:ascii="Times New Roman" w:hAnsi="Times New Roman"/>
          <w:b/>
          <w:sz w:val="24"/>
          <w:szCs w:val="24"/>
        </w:rPr>
        <w:t>заказчике</w:t>
      </w:r>
    </w:p>
    <w:p w14:paraId="2461643E" w14:textId="77777777" w:rsidR="003C06D7" w:rsidRDefault="003C06D7" w:rsidP="003C06D7">
      <w:pPr>
        <w:jc w:val="both"/>
      </w:pPr>
      <w:r w:rsidRPr="00F83648">
        <w:rPr>
          <w:b/>
          <w:color w:val="000000" w:themeColor="text1"/>
        </w:rPr>
        <w:t xml:space="preserve">Заказчик планируемой деятельности: </w:t>
      </w:r>
      <w:r w:rsidRPr="00DC4785">
        <w:t>Открытое акционерное общество «Газпром трансгаз Беларусь»</w:t>
      </w:r>
    </w:p>
    <w:p w14:paraId="0754136E" w14:textId="35302781" w:rsidR="003C06D7" w:rsidRPr="00DC4785" w:rsidRDefault="003C06D7" w:rsidP="003C06D7">
      <w:pPr>
        <w:jc w:val="both"/>
      </w:pPr>
      <w:r w:rsidRPr="003C06D7">
        <w:rPr>
          <w:b/>
        </w:rPr>
        <w:t>Эксплуатирующая организация:</w:t>
      </w:r>
      <w:r>
        <w:t xml:space="preserve"> </w:t>
      </w:r>
      <w:bookmarkStart w:id="2" w:name="_Hlk112068003"/>
      <w:r w:rsidRPr="009F38F1">
        <w:t>филиал «</w:t>
      </w:r>
      <w:r w:rsidR="00EE41F3">
        <w:t>Гомельское</w:t>
      </w:r>
      <w:r w:rsidRPr="009F38F1">
        <w:t xml:space="preserve"> управление магистральных</w:t>
      </w:r>
      <w:r>
        <w:t xml:space="preserve"> </w:t>
      </w:r>
      <w:r w:rsidRPr="009F38F1">
        <w:t>газопроводов» ОАО «Газпром трансгаз Беларусь»</w:t>
      </w:r>
      <w:bookmarkEnd w:id="2"/>
      <w:r>
        <w:t>.</w:t>
      </w:r>
    </w:p>
    <w:p w14:paraId="474F5572" w14:textId="77777777" w:rsidR="003C06D7" w:rsidRPr="00DC4785" w:rsidRDefault="003C06D7" w:rsidP="003C06D7">
      <w:pPr>
        <w:jc w:val="both"/>
        <w:rPr>
          <w:b/>
          <w:color w:val="000000" w:themeColor="text1"/>
        </w:rPr>
      </w:pPr>
      <w:r w:rsidRPr="00DC4785">
        <w:rPr>
          <w:b/>
        </w:rPr>
        <w:t>Предмет деятельности Общества:</w:t>
      </w:r>
      <w:r w:rsidRPr="00DC4785">
        <w:t xml:space="preserve"> поставка природного газа в Республику Беларусь и оказание услуг по транспорту газа.</w:t>
      </w:r>
    </w:p>
    <w:p w14:paraId="498DD5B9" w14:textId="77777777" w:rsidR="003C06D7" w:rsidRPr="00DC4785" w:rsidRDefault="003C06D7" w:rsidP="003C06D7">
      <w:pPr>
        <w:pStyle w:val="ab"/>
        <w:shd w:val="clear" w:color="auto" w:fill="FFFFFF"/>
        <w:spacing w:before="0" w:beforeAutospacing="0" w:after="0" w:afterAutospacing="0" w:line="276" w:lineRule="auto"/>
      </w:pPr>
      <w:r w:rsidRPr="00DC4785">
        <w:rPr>
          <w:b/>
          <w:bCs/>
          <w:color w:val="000000" w:themeColor="text1"/>
        </w:rPr>
        <w:t xml:space="preserve">Адрес местонахождения: </w:t>
      </w:r>
      <w:r w:rsidRPr="00DC4785">
        <w:t>220040, Республика Беларусь, г. Минск, ул. Некрасова, д. 9</w:t>
      </w:r>
    </w:p>
    <w:p w14:paraId="614CF5D8" w14:textId="77777777" w:rsidR="003C06D7" w:rsidRPr="00DC4785" w:rsidRDefault="003C06D7" w:rsidP="003C06D7">
      <w:pPr>
        <w:pStyle w:val="ab"/>
        <w:shd w:val="clear" w:color="auto" w:fill="FFFFFF"/>
        <w:spacing w:before="0" w:beforeAutospacing="0" w:after="0" w:afterAutospacing="0" w:line="276" w:lineRule="auto"/>
      </w:pPr>
      <w:r w:rsidRPr="00DC4785">
        <w:rPr>
          <w:b/>
        </w:rPr>
        <w:t>Почтовый и юридический адрес:</w:t>
      </w:r>
      <w:r w:rsidRPr="00DC4785">
        <w:t xml:space="preserve"> 220040, Республика Беларусь, г. Минск, ул. Некрасова, д. 9</w:t>
      </w:r>
    </w:p>
    <w:p w14:paraId="60803EED" w14:textId="77777777" w:rsidR="003C06D7" w:rsidRPr="00DC4785" w:rsidRDefault="003C06D7" w:rsidP="003C06D7">
      <w:pPr>
        <w:pStyle w:val="ab"/>
        <w:shd w:val="clear" w:color="auto" w:fill="FFFFFF"/>
        <w:spacing w:before="0" w:beforeAutospacing="0" w:after="0" w:afterAutospacing="0" w:line="276" w:lineRule="auto"/>
        <w:rPr>
          <w:color w:val="000000" w:themeColor="text1"/>
        </w:rPr>
      </w:pPr>
      <w:r w:rsidRPr="00DC4785">
        <w:rPr>
          <w:rFonts w:eastAsia="Roboto"/>
          <w:b/>
          <w:color w:val="000000" w:themeColor="text1"/>
          <w:shd w:val="clear" w:color="auto" w:fill="FFFFFF"/>
          <w:lang w:eastAsia="zh-CN"/>
        </w:rPr>
        <w:t>Телефон:</w:t>
      </w:r>
      <w:r w:rsidRPr="00DC4785">
        <w:rPr>
          <w:rStyle w:val="aa"/>
          <w:rFonts w:eastAsia="Calibri"/>
        </w:rPr>
        <w:t xml:space="preserve"> </w:t>
      </w:r>
      <w:r w:rsidRPr="00DC4785">
        <w:t>8 (017) 280-01-01</w:t>
      </w:r>
      <w:r w:rsidRPr="00DC4785">
        <w:rPr>
          <w:i/>
          <w:iCs/>
        </w:rPr>
        <w:t xml:space="preserve"> </w:t>
      </w:r>
      <w:r w:rsidRPr="00DC4785">
        <w:rPr>
          <w:rFonts w:eastAsia="Roboto"/>
          <w:b/>
          <w:color w:val="000000" w:themeColor="text1"/>
          <w:shd w:val="clear" w:color="auto" w:fill="FFFFFF"/>
          <w:lang w:eastAsia="zh-CN"/>
        </w:rPr>
        <w:t>Факс</w:t>
      </w:r>
      <w:r w:rsidRPr="00DC4785">
        <w:rPr>
          <w:i/>
          <w:iCs/>
        </w:rPr>
        <w:t xml:space="preserve"> </w:t>
      </w:r>
      <w:r w:rsidRPr="00DC4785">
        <w:rPr>
          <w:iCs/>
        </w:rPr>
        <w:t>8 (017) 285-63-36</w:t>
      </w:r>
    </w:p>
    <w:p w14:paraId="32FAF3AC" w14:textId="77777777" w:rsidR="003C06D7" w:rsidRDefault="003C06D7" w:rsidP="003C06D7">
      <w:pPr>
        <w:shd w:val="clear" w:color="auto" w:fill="FFFFFF"/>
        <w:jc w:val="both"/>
        <w:rPr>
          <w:iCs/>
        </w:rPr>
      </w:pPr>
      <w:r w:rsidRPr="00F83648">
        <w:rPr>
          <w:rFonts w:eastAsia="Roboto"/>
          <w:b/>
          <w:color w:val="000000" w:themeColor="text1"/>
          <w:shd w:val="clear" w:color="auto" w:fill="FFFFFF"/>
          <w:lang w:val="en-US" w:eastAsia="zh-CN"/>
        </w:rPr>
        <w:t>E</w:t>
      </w:r>
      <w:r w:rsidRPr="00F83648">
        <w:rPr>
          <w:rFonts w:eastAsia="Roboto"/>
          <w:b/>
          <w:color w:val="000000" w:themeColor="text1"/>
          <w:shd w:val="clear" w:color="auto" w:fill="FFFFFF"/>
          <w:lang w:eastAsia="zh-CN"/>
        </w:rPr>
        <w:t>-</w:t>
      </w:r>
      <w:r w:rsidRPr="00F83648">
        <w:rPr>
          <w:rFonts w:eastAsia="Roboto"/>
          <w:b/>
          <w:color w:val="000000" w:themeColor="text1"/>
          <w:shd w:val="clear" w:color="auto" w:fill="FFFFFF"/>
          <w:lang w:val="en-US" w:eastAsia="zh-CN"/>
        </w:rPr>
        <w:t>mail</w:t>
      </w:r>
      <w:r w:rsidRPr="00F83648">
        <w:rPr>
          <w:rFonts w:eastAsia="Roboto"/>
          <w:color w:val="000000" w:themeColor="text1"/>
          <w:shd w:val="clear" w:color="auto" w:fill="FFFFFF"/>
          <w:lang w:eastAsia="zh-CN"/>
        </w:rPr>
        <w:t xml:space="preserve">: </w:t>
      </w:r>
      <w:hyperlink r:id="rId5" w:history="1">
        <w:r w:rsidRPr="009A2688">
          <w:rPr>
            <w:iCs/>
          </w:rPr>
          <w:t>office@btg.by</w:t>
        </w:r>
      </w:hyperlink>
    </w:p>
    <w:p w14:paraId="6062E4B3" w14:textId="7DFBE0F7" w:rsidR="003C06D7" w:rsidRDefault="003C06D7" w:rsidP="003C06D7">
      <w:pPr>
        <w:shd w:val="clear" w:color="auto" w:fill="FFFFFF"/>
        <w:jc w:val="both"/>
        <w:rPr>
          <w:iCs/>
        </w:rPr>
      </w:pPr>
      <w:r>
        <w:rPr>
          <w:b/>
          <w:iCs/>
        </w:rPr>
        <w:lastRenderedPageBreak/>
        <w:t xml:space="preserve">Адрес </w:t>
      </w:r>
      <w:r w:rsidRPr="00DC4785">
        <w:rPr>
          <w:b/>
          <w:iCs/>
        </w:rPr>
        <w:t xml:space="preserve"> объекта:</w:t>
      </w:r>
      <w:r>
        <w:rPr>
          <w:iCs/>
        </w:rPr>
        <w:t xml:space="preserve"> </w:t>
      </w:r>
      <w:r w:rsidR="008E206A">
        <w:rPr>
          <w:iCs/>
        </w:rPr>
        <w:t xml:space="preserve">Проектируемая камера приёма и сопутствующие сооружения расположены на участке отвода на ГРС 2А км 0,0 – км 3,2, на восток от д. </w:t>
      </w:r>
      <w:proofErr w:type="spellStart"/>
      <w:r w:rsidR="008E206A">
        <w:rPr>
          <w:iCs/>
        </w:rPr>
        <w:t>Зябровка</w:t>
      </w:r>
      <w:proofErr w:type="spellEnd"/>
      <w:r w:rsidR="008E206A">
        <w:rPr>
          <w:iCs/>
        </w:rPr>
        <w:t xml:space="preserve"> Добрушского района Гомельской области</w:t>
      </w:r>
      <w:r>
        <w:rPr>
          <w:iCs/>
        </w:rPr>
        <w:t xml:space="preserve">. </w:t>
      </w:r>
    </w:p>
    <w:p w14:paraId="00CC181B" w14:textId="77777777" w:rsidR="00C15B10" w:rsidRPr="00941179" w:rsidRDefault="00C15B10" w:rsidP="009733A2">
      <w:pPr>
        <w:rPr>
          <w:b/>
          <w:bCs/>
          <w:sz w:val="16"/>
          <w:szCs w:val="16"/>
        </w:rPr>
      </w:pPr>
    </w:p>
    <w:p w14:paraId="2FABD296" w14:textId="71CDC3DB" w:rsidR="00460FDB" w:rsidRPr="00C06E87" w:rsidRDefault="00D669D1" w:rsidP="00C15B10">
      <w:pPr>
        <w:jc w:val="center"/>
        <w:rPr>
          <w:b/>
          <w:bCs/>
        </w:rPr>
      </w:pPr>
      <w:r>
        <w:rPr>
          <w:b/>
          <w:bCs/>
        </w:rPr>
        <w:t>Сведения о</w:t>
      </w:r>
      <w:r w:rsidR="00C15B10" w:rsidRPr="00C06E87">
        <w:rPr>
          <w:b/>
          <w:bCs/>
        </w:rPr>
        <w:t xml:space="preserve"> планируемой деятельности</w:t>
      </w:r>
      <w:r w:rsidR="00460FDB" w:rsidRPr="00C06E87">
        <w:rPr>
          <w:b/>
          <w:bCs/>
        </w:rPr>
        <w:t xml:space="preserve"> </w:t>
      </w:r>
    </w:p>
    <w:p w14:paraId="0117C99F" w14:textId="1AE71F63" w:rsidR="00C15B10" w:rsidRPr="00C06E87" w:rsidRDefault="00460FDB" w:rsidP="00596A45">
      <w:pPr>
        <w:jc w:val="center"/>
        <w:rPr>
          <w:b/>
          <w:bCs/>
        </w:rPr>
      </w:pPr>
      <w:r w:rsidRPr="00C06E87">
        <w:rPr>
          <w:b/>
          <w:bCs/>
        </w:rPr>
        <w:t>и альтернативные варианты ее размещения и (или) реализации</w:t>
      </w:r>
    </w:p>
    <w:p w14:paraId="450ED8DF" w14:textId="4AE2B975" w:rsidR="003C06D7" w:rsidRDefault="004E613B" w:rsidP="002E7A5E">
      <w:pPr>
        <w:pStyle w:val="a3"/>
        <w:spacing w:line="240" w:lineRule="auto"/>
        <w:rPr>
          <w:szCs w:val="24"/>
        </w:rPr>
      </w:pPr>
      <w:bookmarkStart w:id="3" w:name="_Hlk112068120"/>
      <w:r w:rsidRPr="00C473DF">
        <w:rPr>
          <w:szCs w:val="24"/>
        </w:rPr>
        <w:t>Цель</w:t>
      </w:r>
      <w:r w:rsidR="002E7A5E">
        <w:rPr>
          <w:szCs w:val="24"/>
        </w:rPr>
        <w:t>ю</w:t>
      </w:r>
      <w:r w:rsidRPr="00C473DF">
        <w:rPr>
          <w:szCs w:val="24"/>
        </w:rPr>
        <w:t xml:space="preserve"> </w:t>
      </w:r>
      <w:bookmarkEnd w:id="3"/>
      <w:r w:rsidR="002E7A5E">
        <w:rPr>
          <w:szCs w:val="24"/>
        </w:rPr>
        <w:t xml:space="preserve">реконструкции является возможность проведения внутритрубной диагностики и поддержания пропускной способности существующего газопровода на уровне проектной в период эксплуатации, а также повышение надежности, безопасности и эффективности его эксплуатации. Проектом предусматривается устройство камер запуска и приёма внутритрубных очистных и диагностических устройств в </w:t>
      </w:r>
      <w:proofErr w:type="spellStart"/>
      <w:r w:rsidR="002E7A5E">
        <w:rPr>
          <w:szCs w:val="24"/>
        </w:rPr>
        <w:t>блочно</w:t>
      </w:r>
      <w:proofErr w:type="spellEnd"/>
      <w:r w:rsidR="002E7A5E">
        <w:rPr>
          <w:szCs w:val="24"/>
        </w:rPr>
        <w:t xml:space="preserve">-комплектном исполнении с быстродействующим затвором </w:t>
      </w:r>
      <w:proofErr w:type="spellStart"/>
      <w:r w:rsidR="002E7A5E">
        <w:rPr>
          <w:szCs w:val="24"/>
        </w:rPr>
        <w:t>байонетного</w:t>
      </w:r>
      <w:proofErr w:type="spellEnd"/>
      <w:r w:rsidR="002E7A5E">
        <w:rPr>
          <w:szCs w:val="24"/>
        </w:rPr>
        <w:t xml:space="preserve"> типа. </w:t>
      </w:r>
    </w:p>
    <w:p w14:paraId="76F19BB0" w14:textId="0324DA0D" w:rsidR="002E7A5E" w:rsidRDefault="002E7A5E" w:rsidP="002E7A5E">
      <w:pPr>
        <w:pStyle w:val="a3"/>
        <w:spacing w:line="240" w:lineRule="auto"/>
        <w:rPr>
          <w:szCs w:val="24"/>
        </w:rPr>
      </w:pPr>
      <w:r>
        <w:rPr>
          <w:szCs w:val="24"/>
        </w:rPr>
        <w:t>На основании оценки состояния и прогноза изменения основных компонентов окружающей среды можно сделать вывод, что реализация планируемой деятельности не приведет к ухудшению состояния окружающей среды в районе расположения объекта возведения.</w:t>
      </w:r>
    </w:p>
    <w:p w14:paraId="46E610F1" w14:textId="5CB60CB8" w:rsidR="002E7A5E" w:rsidRPr="002E7A5E" w:rsidRDefault="002E7A5E" w:rsidP="002E7A5E">
      <w:pPr>
        <w:pStyle w:val="a3"/>
        <w:spacing w:line="240" w:lineRule="auto"/>
      </w:pPr>
      <w:r>
        <w:rPr>
          <w:szCs w:val="24"/>
        </w:rPr>
        <w:t xml:space="preserve">Реализация проектных решений способствует повышению надежности и безопасности и бесперебойности поставок газа потребителям, а также недопущению возникновения аварийных ситуаций на объекте. </w:t>
      </w:r>
    </w:p>
    <w:p w14:paraId="7AB065EA" w14:textId="3C9141E5" w:rsidR="004E613B" w:rsidRDefault="004E613B" w:rsidP="00A03130">
      <w:pPr>
        <w:pStyle w:val="a3"/>
        <w:spacing w:line="240" w:lineRule="auto"/>
        <w:rPr>
          <w:lang w:eastAsia="en-GB"/>
        </w:rPr>
      </w:pPr>
    </w:p>
    <w:p w14:paraId="403A096F" w14:textId="77777777" w:rsidR="003C06D7" w:rsidRDefault="003C06D7">
      <w:pPr>
        <w:widowControl w:val="0"/>
        <w:autoSpaceDE w:val="0"/>
        <w:autoSpaceDN w:val="0"/>
        <w:ind w:firstLine="709"/>
        <w:jc w:val="both"/>
      </w:pPr>
    </w:p>
    <w:sectPr w:rsidR="003C06D7" w:rsidSect="00EE41F3">
      <w:pgSz w:w="11906" w:h="16838"/>
      <w:pgMar w:top="851"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A2"/>
    <w:rsid w:val="00014583"/>
    <w:rsid w:val="00035CC0"/>
    <w:rsid w:val="00053B40"/>
    <w:rsid w:val="000C63F7"/>
    <w:rsid w:val="00176A5E"/>
    <w:rsid w:val="00177298"/>
    <w:rsid w:val="00182A53"/>
    <w:rsid w:val="001926D4"/>
    <w:rsid w:val="001A0010"/>
    <w:rsid w:val="001B43C6"/>
    <w:rsid w:val="001F0F92"/>
    <w:rsid w:val="0020081E"/>
    <w:rsid w:val="00242BFA"/>
    <w:rsid w:val="002E7A5E"/>
    <w:rsid w:val="00370DA7"/>
    <w:rsid w:val="003C06D7"/>
    <w:rsid w:val="00460FDB"/>
    <w:rsid w:val="004D2958"/>
    <w:rsid w:val="004D43B8"/>
    <w:rsid w:val="004E613B"/>
    <w:rsid w:val="00591869"/>
    <w:rsid w:val="00596A45"/>
    <w:rsid w:val="005A22D0"/>
    <w:rsid w:val="005B1716"/>
    <w:rsid w:val="00630D2E"/>
    <w:rsid w:val="006329E2"/>
    <w:rsid w:val="006944C4"/>
    <w:rsid w:val="006A27EB"/>
    <w:rsid w:val="006B4E02"/>
    <w:rsid w:val="006F56AB"/>
    <w:rsid w:val="007330D4"/>
    <w:rsid w:val="00784D51"/>
    <w:rsid w:val="00796A6F"/>
    <w:rsid w:val="007B5017"/>
    <w:rsid w:val="007E7366"/>
    <w:rsid w:val="008464C7"/>
    <w:rsid w:val="008604C4"/>
    <w:rsid w:val="008E206A"/>
    <w:rsid w:val="00907132"/>
    <w:rsid w:val="00941179"/>
    <w:rsid w:val="0094489C"/>
    <w:rsid w:val="00970927"/>
    <w:rsid w:val="009733A2"/>
    <w:rsid w:val="00973495"/>
    <w:rsid w:val="00973CB6"/>
    <w:rsid w:val="009B3FCF"/>
    <w:rsid w:val="009E31C9"/>
    <w:rsid w:val="00A03130"/>
    <w:rsid w:val="00A1257E"/>
    <w:rsid w:val="00A15964"/>
    <w:rsid w:val="00A56DD7"/>
    <w:rsid w:val="00A70130"/>
    <w:rsid w:val="00A70220"/>
    <w:rsid w:val="00AD273F"/>
    <w:rsid w:val="00AF7DCC"/>
    <w:rsid w:val="00B23116"/>
    <w:rsid w:val="00B56A95"/>
    <w:rsid w:val="00B93B17"/>
    <w:rsid w:val="00C06E87"/>
    <w:rsid w:val="00C15B10"/>
    <w:rsid w:val="00C16261"/>
    <w:rsid w:val="00C60A6A"/>
    <w:rsid w:val="00C64931"/>
    <w:rsid w:val="00C85B71"/>
    <w:rsid w:val="00C92FC1"/>
    <w:rsid w:val="00C9545B"/>
    <w:rsid w:val="00CA40CB"/>
    <w:rsid w:val="00CD5A1B"/>
    <w:rsid w:val="00CE0D6E"/>
    <w:rsid w:val="00D34EDF"/>
    <w:rsid w:val="00D35E9E"/>
    <w:rsid w:val="00D37CD0"/>
    <w:rsid w:val="00D40999"/>
    <w:rsid w:val="00D5193F"/>
    <w:rsid w:val="00D669D1"/>
    <w:rsid w:val="00DC2716"/>
    <w:rsid w:val="00E817DE"/>
    <w:rsid w:val="00E96CA8"/>
    <w:rsid w:val="00EB3835"/>
    <w:rsid w:val="00EB4C23"/>
    <w:rsid w:val="00EC2CC9"/>
    <w:rsid w:val="00ED372B"/>
    <w:rsid w:val="00EE41F3"/>
    <w:rsid w:val="00F726D3"/>
    <w:rsid w:val="00FA57BF"/>
    <w:rsid w:val="00FB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7">
    <w:name w:val="caaieiaie 7"/>
    <w:basedOn w:val="a"/>
    <w:next w:val="a"/>
    <w:rsid w:val="009733A2"/>
    <w:pPr>
      <w:keepNext/>
      <w:jc w:val="both"/>
    </w:pPr>
    <w:rPr>
      <w:szCs w:val="20"/>
    </w:rPr>
  </w:style>
  <w:style w:type="paragraph" w:customStyle="1" w:styleId="1">
    <w:name w:val="Обычный1"/>
    <w:rsid w:val="009733A2"/>
    <w:pPr>
      <w:spacing w:after="0" w:line="240" w:lineRule="auto"/>
    </w:pPr>
    <w:rPr>
      <w:rFonts w:ascii="Times New Roman" w:eastAsia="Times New Roman" w:hAnsi="Times New Roman" w:cs="Times New Roman"/>
      <w:sz w:val="24"/>
      <w:szCs w:val="20"/>
      <w:lang w:eastAsia="ru-RU"/>
    </w:rPr>
  </w:style>
  <w:style w:type="paragraph" w:customStyle="1" w:styleId="a3">
    <w:name w:val="БелНИЦ"/>
    <w:qFormat/>
    <w:rsid w:val="00460FDB"/>
    <w:pPr>
      <w:widowControl w:val="0"/>
      <w:autoSpaceDE w:val="0"/>
      <w:autoSpaceDN w:val="0"/>
      <w:adjustRightInd w:val="0"/>
      <w:spacing w:after="0" w:line="360" w:lineRule="auto"/>
      <w:ind w:firstLine="709"/>
      <w:jc w:val="both"/>
    </w:pPr>
    <w:rPr>
      <w:rFonts w:ascii="Times New Roman" w:eastAsia="Times New Roman" w:hAnsi="Times New Roman" w:cs="Arial"/>
      <w:sz w:val="24"/>
      <w:szCs w:val="20"/>
      <w:lang w:eastAsia="ru-RU"/>
    </w:rPr>
  </w:style>
  <w:style w:type="paragraph" w:styleId="2">
    <w:name w:val="Body Text Indent 2"/>
    <w:basedOn w:val="a"/>
    <w:link w:val="20"/>
    <w:rsid w:val="00C06E87"/>
    <w:pPr>
      <w:spacing w:after="120" w:line="480" w:lineRule="auto"/>
      <w:ind w:left="283"/>
    </w:pPr>
  </w:style>
  <w:style w:type="character" w:customStyle="1" w:styleId="20">
    <w:name w:val="Основной текст с отступом 2 Знак"/>
    <w:basedOn w:val="a0"/>
    <w:link w:val="2"/>
    <w:rsid w:val="00C06E87"/>
    <w:rPr>
      <w:rFonts w:ascii="Times New Roman" w:eastAsia="Times New Roman" w:hAnsi="Times New Roman" w:cs="Times New Roman"/>
      <w:sz w:val="24"/>
      <w:szCs w:val="24"/>
      <w:lang w:eastAsia="ru-RU"/>
    </w:rPr>
  </w:style>
  <w:style w:type="paragraph" w:styleId="a4">
    <w:name w:val="List Paragraph"/>
    <w:aliases w:val="Абзац списка для документа"/>
    <w:basedOn w:val="a"/>
    <w:link w:val="a5"/>
    <w:uiPriority w:val="34"/>
    <w:qFormat/>
    <w:rsid w:val="00C06E8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Абзац списка для документа Знак"/>
    <w:link w:val="a4"/>
    <w:uiPriority w:val="34"/>
    <w:locked/>
    <w:rsid w:val="00C06E87"/>
    <w:rPr>
      <w:rFonts w:ascii="Calibri" w:eastAsia="Calibri" w:hAnsi="Calibri" w:cs="Times New Roman"/>
    </w:rPr>
  </w:style>
  <w:style w:type="paragraph" w:styleId="a6">
    <w:name w:val="header"/>
    <w:basedOn w:val="a"/>
    <w:link w:val="a7"/>
    <w:rsid w:val="001926D4"/>
    <w:pPr>
      <w:tabs>
        <w:tab w:val="center" w:pos="4677"/>
        <w:tab w:val="right" w:pos="9355"/>
      </w:tabs>
    </w:pPr>
  </w:style>
  <w:style w:type="character" w:customStyle="1" w:styleId="a7">
    <w:name w:val="Верхний колонтитул Знак"/>
    <w:basedOn w:val="a0"/>
    <w:link w:val="a6"/>
    <w:rsid w:val="001926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C06D7"/>
    <w:rPr>
      <w:rFonts w:ascii="Segoe UI" w:hAnsi="Segoe UI" w:cs="Segoe UI"/>
      <w:sz w:val="18"/>
      <w:szCs w:val="18"/>
    </w:rPr>
  </w:style>
  <w:style w:type="character" w:customStyle="1" w:styleId="a9">
    <w:name w:val="Текст выноски Знак"/>
    <w:basedOn w:val="a0"/>
    <w:link w:val="a8"/>
    <w:uiPriority w:val="99"/>
    <w:semiHidden/>
    <w:rsid w:val="003C06D7"/>
    <w:rPr>
      <w:rFonts w:ascii="Segoe UI" w:eastAsia="Times New Roman" w:hAnsi="Segoe UI" w:cs="Segoe UI"/>
      <w:sz w:val="18"/>
      <w:szCs w:val="18"/>
      <w:lang w:eastAsia="ru-RU"/>
    </w:rPr>
  </w:style>
  <w:style w:type="paragraph" w:customStyle="1" w:styleId="10">
    <w:name w:val="Абзац списка1"/>
    <w:basedOn w:val="a"/>
    <w:rsid w:val="003C06D7"/>
    <w:pPr>
      <w:spacing w:after="200" w:line="276" w:lineRule="auto"/>
      <w:ind w:left="720"/>
      <w:contextualSpacing/>
    </w:pPr>
    <w:rPr>
      <w:rFonts w:ascii="Calibri" w:hAnsi="Calibri"/>
      <w:sz w:val="22"/>
      <w:szCs w:val="22"/>
    </w:rPr>
  </w:style>
  <w:style w:type="character" w:styleId="aa">
    <w:name w:val="Hyperlink"/>
    <w:uiPriority w:val="99"/>
    <w:rsid w:val="003C06D7"/>
    <w:rPr>
      <w:rFonts w:cs="Times New Roman"/>
      <w:color w:val="0000FF"/>
      <w:u w:val="single"/>
    </w:rPr>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c"/>
    <w:uiPriority w:val="99"/>
    <w:qFormat/>
    <w:rsid w:val="003C06D7"/>
    <w:pPr>
      <w:spacing w:before="100" w:beforeAutospacing="1" w:after="100" w:afterAutospacing="1"/>
    </w:p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uiPriority w:val="99"/>
    <w:rsid w:val="003C06D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7">
    <w:name w:val="caaieiaie 7"/>
    <w:basedOn w:val="a"/>
    <w:next w:val="a"/>
    <w:rsid w:val="009733A2"/>
    <w:pPr>
      <w:keepNext/>
      <w:jc w:val="both"/>
    </w:pPr>
    <w:rPr>
      <w:szCs w:val="20"/>
    </w:rPr>
  </w:style>
  <w:style w:type="paragraph" w:customStyle="1" w:styleId="1">
    <w:name w:val="Обычный1"/>
    <w:rsid w:val="009733A2"/>
    <w:pPr>
      <w:spacing w:after="0" w:line="240" w:lineRule="auto"/>
    </w:pPr>
    <w:rPr>
      <w:rFonts w:ascii="Times New Roman" w:eastAsia="Times New Roman" w:hAnsi="Times New Roman" w:cs="Times New Roman"/>
      <w:sz w:val="24"/>
      <w:szCs w:val="20"/>
      <w:lang w:eastAsia="ru-RU"/>
    </w:rPr>
  </w:style>
  <w:style w:type="paragraph" w:customStyle="1" w:styleId="a3">
    <w:name w:val="БелНИЦ"/>
    <w:qFormat/>
    <w:rsid w:val="00460FDB"/>
    <w:pPr>
      <w:widowControl w:val="0"/>
      <w:autoSpaceDE w:val="0"/>
      <w:autoSpaceDN w:val="0"/>
      <w:adjustRightInd w:val="0"/>
      <w:spacing w:after="0" w:line="360" w:lineRule="auto"/>
      <w:ind w:firstLine="709"/>
      <w:jc w:val="both"/>
    </w:pPr>
    <w:rPr>
      <w:rFonts w:ascii="Times New Roman" w:eastAsia="Times New Roman" w:hAnsi="Times New Roman" w:cs="Arial"/>
      <w:sz w:val="24"/>
      <w:szCs w:val="20"/>
      <w:lang w:eastAsia="ru-RU"/>
    </w:rPr>
  </w:style>
  <w:style w:type="paragraph" w:styleId="2">
    <w:name w:val="Body Text Indent 2"/>
    <w:basedOn w:val="a"/>
    <w:link w:val="20"/>
    <w:rsid w:val="00C06E87"/>
    <w:pPr>
      <w:spacing w:after="120" w:line="480" w:lineRule="auto"/>
      <w:ind w:left="283"/>
    </w:pPr>
  </w:style>
  <w:style w:type="character" w:customStyle="1" w:styleId="20">
    <w:name w:val="Основной текст с отступом 2 Знак"/>
    <w:basedOn w:val="a0"/>
    <w:link w:val="2"/>
    <w:rsid w:val="00C06E87"/>
    <w:rPr>
      <w:rFonts w:ascii="Times New Roman" w:eastAsia="Times New Roman" w:hAnsi="Times New Roman" w:cs="Times New Roman"/>
      <w:sz w:val="24"/>
      <w:szCs w:val="24"/>
      <w:lang w:eastAsia="ru-RU"/>
    </w:rPr>
  </w:style>
  <w:style w:type="paragraph" w:styleId="a4">
    <w:name w:val="List Paragraph"/>
    <w:aliases w:val="Абзац списка для документа"/>
    <w:basedOn w:val="a"/>
    <w:link w:val="a5"/>
    <w:uiPriority w:val="34"/>
    <w:qFormat/>
    <w:rsid w:val="00C06E87"/>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Абзац списка для документа Знак"/>
    <w:link w:val="a4"/>
    <w:uiPriority w:val="34"/>
    <w:locked/>
    <w:rsid w:val="00C06E87"/>
    <w:rPr>
      <w:rFonts w:ascii="Calibri" w:eastAsia="Calibri" w:hAnsi="Calibri" w:cs="Times New Roman"/>
    </w:rPr>
  </w:style>
  <w:style w:type="paragraph" w:styleId="a6">
    <w:name w:val="header"/>
    <w:basedOn w:val="a"/>
    <w:link w:val="a7"/>
    <w:rsid w:val="001926D4"/>
    <w:pPr>
      <w:tabs>
        <w:tab w:val="center" w:pos="4677"/>
        <w:tab w:val="right" w:pos="9355"/>
      </w:tabs>
    </w:pPr>
  </w:style>
  <w:style w:type="character" w:customStyle="1" w:styleId="a7">
    <w:name w:val="Верхний колонтитул Знак"/>
    <w:basedOn w:val="a0"/>
    <w:link w:val="a6"/>
    <w:rsid w:val="001926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C06D7"/>
    <w:rPr>
      <w:rFonts w:ascii="Segoe UI" w:hAnsi="Segoe UI" w:cs="Segoe UI"/>
      <w:sz w:val="18"/>
      <w:szCs w:val="18"/>
    </w:rPr>
  </w:style>
  <w:style w:type="character" w:customStyle="1" w:styleId="a9">
    <w:name w:val="Текст выноски Знак"/>
    <w:basedOn w:val="a0"/>
    <w:link w:val="a8"/>
    <w:uiPriority w:val="99"/>
    <w:semiHidden/>
    <w:rsid w:val="003C06D7"/>
    <w:rPr>
      <w:rFonts w:ascii="Segoe UI" w:eastAsia="Times New Roman" w:hAnsi="Segoe UI" w:cs="Segoe UI"/>
      <w:sz w:val="18"/>
      <w:szCs w:val="18"/>
      <w:lang w:eastAsia="ru-RU"/>
    </w:rPr>
  </w:style>
  <w:style w:type="paragraph" w:customStyle="1" w:styleId="10">
    <w:name w:val="Абзац списка1"/>
    <w:basedOn w:val="a"/>
    <w:rsid w:val="003C06D7"/>
    <w:pPr>
      <w:spacing w:after="200" w:line="276" w:lineRule="auto"/>
      <w:ind w:left="720"/>
      <w:contextualSpacing/>
    </w:pPr>
    <w:rPr>
      <w:rFonts w:ascii="Calibri" w:hAnsi="Calibri"/>
      <w:sz w:val="22"/>
      <w:szCs w:val="22"/>
    </w:rPr>
  </w:style>
  <w:style w:type="character" w:styleId="aa">
    <w:name w:val="Hyperlink"/>
    <w:uiPriority w:val="99"/>
    <w:rsid w:val="003C06D7"/>
    <w:rPr>
      <w:rFonts w:cs="Times New Roman"/>
      <w:color w:val="0000FF"/>
      <w:u w:val="single"/>
    </w:rPr>
  </w:style>
  <w:style w:type="paragraph" w:styleId="ab">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c"/>
    <w:uiPriority w:val="99"/>
    <w:qFormat/>
    <w:rsid w:val="003C06D7"/>
    <w:pPr>
      <w:spacing w:before="100" w:beforeAutospacing="1" w:after="100" w:afterAutospacing="1"/>
    </w:pPr>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b"/>
    <w:uiPriority w:val="99"/>
    <w:rsid w:val="003C06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bt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Ecoland</dc:creator>
  <cp:lastModifiedBy>User</cp:lastModifiedBy>
  <cp:revision>3</cp:revision>
  <cp:lastPrinted>2023-04-17T10:10:00Z</cp:lastPrinted>
  <dcterms:created xsi:type="dcterms:W3CDTF">2023-12-18T12:14:00Z</dcterms:created>
  <dcterms:modified xsi:type="dcterms:W3CDTF">2023-12-19T06:13:00Z</dcterms:modified>
</cp:coreProperties>
</file>